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053" w:rsidRDefault="00193BC8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>
        <w:rPr>
          <w:rFonts w:ascii="Arial" w:hAnsi="Arial" w:cs="Arial" w:hint="eastAsia"/>
          <w:b/>
          <w:sz w:val="22"/>
          <w:szCs w:val="22"/>
          <w:lang w:eastAsia="zh-CN"/>
        </w:rPr>
        <w:t>6bis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  <w:t>R1-2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109264</w:t>
      </w:r>
    </w:p>
    <w:p w:rsidR="00870053" w:rsidRDefault="00193BC8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 xml:space="preserve">e-Meeting,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October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11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19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</w:t>
      </w:r>
      <w:r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hAnsi="Arial" w:cs="Arial"/>
          <w:b/>
          <w:sz w:val="22"/>
          <w:szCs w:val="22"/>
        </w:rPr>
        <w:tab/>
      </w:r>
    </w:p>
    <w:p w:rsidR="00870053" w:rsidRDefault="00870053">
      <w:pPr>
        <w:pStyle w:val="ad"/>
        <w:jc w:val="both"/>
      </w:pPr>
    </w:p>
    <w:p w:rsidR="00870053" w:rsidRDefault="00193BC8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  <w:r>
        <w:rPr>
          <w:rFonts w:ascii="Arial" w:hAnsi="Arial" w:hint="eastAsia"/>
          <w:b/>
          <w:lang w:eastAsia="zh-CN"/>
        </w:rPr>
        <w:t>, Sanechips</w:t>
      </w:r>
    </w:p>
    <w:p w:rsidR="00870053" w:rsidRDefault="00193BC8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>Discussion on NR Rel-1</w:t>
      </w:r>
      <w:r>
        <w:rPr>
          <w:rFonts w:ascii="Arial" w:hAnsi="Arial" w:hint="eastAsia"/>
          <w:b/>
          <w:lang w:eastAsia="zh-CN"/>
        </w:rPr>
        <w:t>7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  <w:lang w:eastAsia="zh-CN"/>
        </w:rPr>
        <w:t>IAB MT</w:t>
      </w:r>
      <w:r>
        <w:rPr>
          <w:rFonts w:ascii="Arial" w:hAnsi="Arial"/>
          <w:b/>
        </w:rPr>
        <w:t xml:space="preserve"> features</w:t>
      </w:r>
    </w:p>
    <w:p w:rsidR="00870053" w:rsidRDefault="00193BC8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8.17.10</w:t>
      </w:r>
    </w:p>
    <w:p w:rsidR="00870053" w:rsidRDefault="00193BC8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 and Decision</w:t>
      </w:r>
    </w:p>
    <w:p w:rsidR="00870053" w:rsidRDefault="00193BC8">
      <w:pPr>
        <w:pStyle w:val="1"/>
        <w:textAlignment w:val="auto"/>
      </w:pPr>
      <w:bookmarkStart w:id="2" w:name="_Ref4817"/>
      <w:r>
        <w:t>Introduction</w:t>
      </w:r>
      <w:bookmarkEnd w:id="0"/>
      <w:bookmarkEnd w:id="2"/>
    </w:p>
    <w:p w:rsidR="00870053" w:rsidRDefault="00193BC8">
      <w:pPr>
        <w:spacing w:before="240"/>
        <w:rPr>
          <w:lang w:eastAsia="zh-CN"/>
        </w:rPr>
      </w:pPr>
      <w:r>
        <w:rPr>
          <w:rFonts w:hint="eastAsia"/>
          <w:lang w:eastAsia="zh-CN"/>
        </w:rPr>
        <w:t xml:space="preserve">A preliminary RAN1 UE features lists for Rel-17 NR have been uploaded for RAN1#106bis-e discussions in [1], and </w:t>
      </w:r>
      <w:r>
        <w:rPr>
          <w:rFonts w:hint="eastAsia"/>
          <w:lang w:eastAsia="zh-CN"/>
        </w:rPr>
        <w:t>the IAB MT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feature list is </w:t>
      </w:r>
      <w:r>
        <w:rPr>
          <w:rFonts w:hint="eastAsia"/>
          <w:lang w:eastAsia="zh-CN"/>
        </w:rPr>
        <w:t xml:space="preserve">also </w:t>
      </w:r>
      <w:r>
        <w:rPr>
          <w:rFonts w:hint="eastAsia"/>
          <w:lang w:eastAsia="zh-CN"/>
        </w:rPr>
        <w:t>updated</w:t>
      </w:r>
      <w:r>
        <w:rPr>
          <w:lang w:val="en-GB"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his contribution</w:t>
      </w:r>
      <w:r>
        <w:rPr>
          <w:lang w:eastAsia="zh-CN"/>
        </w:rPr>
        <w:t xml:space="preserve"> provides</w:t>
      </w:r>
      <w:r>
        <w:rPr>
          <w:rFonts w:hint="eastAsia"/>
          <w:lang w:eastAsia="zh-CN"/>
        </w:rPr>
        <w:t xml:space="preserve"> some analysis </w:t>
      </w:r>
      <w:r>
        <w:rPr>
          <w:lang w:eastAsia="zh-CN"/>
        </w:rPr>
        <w:t>and our further views for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Rel-17 </w:t>
      </w:r>
      <w:r>
        <w:rPr>
          <w:rFonts w:hint="eastAsia"/>
          <w:lang w:eastAsia="zh-CN"/>
        </w:rPr>
        <w:t>IAB MT features.</w:t>
      </w:r>
    </w:p>
    <w:p w:rsidR="00870053" w:rsidRDefault="00193BC8">
      <w:pPr>
        <w:pStyle w:val="1"/>
        <w:rPr>
          <w:lang w:eastAsia="zh-CN"/>
        </w:rPr>
      </w:pPr>
      <w:r>
        <w:rPr>
          <w:lang w:eastAsia="zh-CN"/>
        </w:rPr>
        <w:t>Analysis for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IAB MT features</w:t>
      </w:r>
    </w:p>
    <w:p w:rsidR="00870053" w:rsidRDefault="00193BC8">
      <w:pPr>
        <w:rPr>
          <w:lang w:eastAsia="zh-CN"/>
        </w:rPr>
      </w:pPr>
      <w:r>
        <w:rPr>
          <w:rFonts w:hint="eastAsia"/>
          <w:lang w:eastAsia="zh-CN"/>
        </w:rPr>
        <w:t>According to the WID of Rel-17 IAB and the discussion in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previous</w:t>
      </w:r>
      <w:r>
        <w:rPr>
          <w:rFonts w:hint="eastAsia"/>
          <w:lang w:eastAsia="zh-CN"/>
        </w:rPr>
        <w:t xml:space="preserve"> RAN1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meeting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we agree that</w:t>
      </w:r>
      <w:r>
        <w:rPr>
          <w:rFonts w:hint="eastAsia"/>
          <w:lang w:eastAsia="zh-CN"/>
        </w:rPr>
        <w:t xml:space="preserve"> all the listed </w:t>
      </w:r>
      <w:r>
        <w:rPr>
          <w:rFonts w:hint="eastAsia"/>
          <w:lang w:eastAsia="zh-CN"/>
        </w:rPr>
        <w:t xml:space="preserve">Rel-17 </w:t>
      </w:r>
      <w:r>
        <w:rPr>
          <w:rFonts w:hint="eastAsia"/>
          <w:lang w:eastAsia="zh-CN"/>
        </w:rPr>
        <w:t>IAB-MT FGs are some enhancements of Rel-1</w:t>
      </w:r>
      <w:r>
        <w:rPr>
          <w:rFonts w:hint="eastAsia"/>
          <w:lang w:eastAsia="zh-CN"/>
        </w:rPr>
        <w:t>6 IAB MT</w:t>
      </w:r>
      <w:r>
        <w:rPr>
          <w:rFonts w:hint="eastAsia"/>
          <w:lang w:eastAsia="zh-CN"/>
        </w:rPr>
        <w:t>, and are not necessar</w:t>
      </w:r>
      <w:r>
        <w:rPr>
          <w:lang w:eastAsia="zh-CN"/>
        </w:rPr>
        <w:t>ily</w:t>
      </w:r>
      <w:r>
        <w:rPr>
          <w:rFonts w:hint="eastAsia"/>
          <w:lang w:eastAsia="zh-CN"/>
        </w:rPr>
        <w:t xml:space="preserve"> mandatory even f</w:t>
      </w:r>
      <w:r>
        <w:t>or device supporting IAB backha</w:t>
      </w:r>
      <w:r>
        <w:t>ul</w:t>
      </w:r>
      <w:r>
        <w:rPr>
          <w:rFonts w:hint="eastAsia"/>
          <w:lang w:eastAsia="zh-CN"/>
        </w:rPr>
        <w:t xml:space="preserve">. </w:t>
      </w:r>
    </w:p>
    <w:p w:rsidR="00870053" w:rsidRDefault="00193BC8">
      <w:pPr>
        <w:rPr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1</w:t>
      </w:r>
      <w:r>
        <w:rPr>
          <w:b/>
          <w:i/>
        </w:rPr>
        <w:t xml:space="preserve">: </w:t>
      </w:r>
      <w:r>
        <w:rPr>
          <w:rFonts w:hint="eastAsia"/>
          <w:b/>
          <w:i/>
          <w:lang w:eastAsia="zh-CN"/>
        </w:rPr>
        <w:t>A</w:t>
      </w:r>
      <w:r>
        <w:rPr>
          <w:rFonts w:hint="eastAsia"/>
          <w:b/>
          <w:i/>
        </w:rPr>
        <w:t>ll the listed Rel-17 IAB-MT FGs are some enhancements of Rel-16 IAB MT, and are</w:t>
      </w:r>
      <w:r>
        <w:rPr>
          <w:rFonts w:hint="eastAsia"/>
          <w:b/>
          <w:i/>
          <w:lang w:eastAsia="zh-CN"/>
        </w:rPr>
        <w:t xml:space="preserve"> optionally supported with capability signalling</w:t>
      </w:r>
      <w:r>
        <w:rPr>
          <w:rFonts w:hint="eastAsia"/>
          <w:b/>
          <w:bCs/>
          <w:i/>
          <w:lang w:eastAsia="zh-CN"/>
        </w:rPr>
        <w:t>.</w:t>
      </w:r>
    </w:p>
    <w:p w:rsidR="00870053" w:rsidRDefault="00193BC8">
      <w:pPr>
        <w:rPr>
          <w:lang w:eastAsia="zh-CN"/>
        </w:rPr>
      </w:pPr>
      <w:r>
        <w:rPr>
          <w:rFonts w:hint="eastAsia"/>
          <w:lang w:eastAsia="zh-CN"/>
        </w:rPr>
        <w:t>And according to the following agreement in RAN1#106-e[2], as an enhancement feature, an IAB MT may report</w:t>
      </w:r>
      <w:r>
        <w:rPr>
          <w:rFonts w:hint="eastAsia"/>
          <w:lang w:eastAsia="zh-CN"/>
        </w:rPr>
        <w:t xml:space="preserve"> its capability regarding simultaneous transmission and reception on multiple serving cells in a frequency band to its IAB-donor-CU, which is missing in the table.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870053">
        <w:tc>
          <w:tcPr>
            <w:tcW w:w="9854" w:type="dxa"/>
          </w:tcPr>
          <w:p w:rsidR="00870053" w:rsidRDefault="00193BC8">
            <w:pPr>
              <w:spacing w:after="120" w:line="240" w:lineRule="auto"/>
            </w:pPr>
            <w:r>
              <w:rPr>
                <w:highlight w:val="green"/>
              </w:rPr>
              <w:t>Agreement</w:t>
            </w:r>
            <w:r>
              <w:t>:</w:t>
            </w:r>
          </w:p>
          <w:p w:rsidR="00870053" w:rsidRDefault="00193BC8">
            <w:pPr>
              <w:pStyle w:val="a"/>
              <w:numPr>
                <w:ilvl w:val="0"/>
                <w:numId w:val="9"/>
              </w:numPr>
              <w:overflowPunct w:val="0"/>
              <w:autoSpaceDE w:val="0"/>
              <w:autoSpaceDN w:val="0"/>
              <w:spacing w:line="240" w:lineRule="auto"/>
              <w:rPr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The IAB-donor-CU can be made aware of the IAB-MT</w:t>
            </w:r>
            <w:r>
              <w:rPr>
                <w:i/>
                <w:iCs/>
                <w:lang w:eastAsia="zh-CN"/>
              </w:rPr>
              <w:t>’</w:t>
            </w:r>
            <w:r>
              <w:rPr>
                <w:rFonts w:hint="eastAsia"/>
                <w:i/>
                <w:iCs/>
                <w:lang w:eastAsia="zh-CN"/>
              </w:rPr>
              <w:t>s capability regarding simultane</w:t>
            </w:r>
            <w:r>
              <w:rPr>
                <w:rFonts w:hint="eastAsia"/>
                <w:i/>
                <w:iCs/>
                <w:lang w:eastAsia="zh-CN"/>
              </w:rPr>
              <w:t>ous transmission and reception on multiple serving cells in a frequency band, configured by the two parent nodes in intra-donor DC scenarios.</w:t>
            </w:r>
          </w:p>
        </w:tc>
      </w:tr>
    </w:tbl>
    <w:p w:rsidR="00870053" w:rsidRPr="00193BC8" w:rsidRDefault="00870053">
      <w:pPr>
        <w:pStyle w:val="a"/>
        <w:widowControl w:val="0"/>
        <w:numPr>
          <w:ilvl w:val="0"/>
          <w:numId w:val="0"/>
        </w:numPr>
        <w:adjustRightInd w:val="0"/>
        <w:snapToGrid w:val="0"/>
        <w:spacing w:afterLines="50"/>
        <w:rPr>
          <w:rFonts w:eastAsia="宋体"/>
          <w:szCs w:val="20"/>
          <w:lang w:val="en-US" w:eastAsia="zh-CN"/>
        </w:rPr>
      </w:pPr>
      <w:bookmarkStart w:id="3" w:name="_GoBack"/>
      <w:bookmarkEnd w:id="3"/>
    </w:p>
    <w:p w:rsidR="00870053" w:rsidRDefault="00193BC8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>
        <w:rPr>
          <w:b/>
          <w:i/>
        </w:rPr>
        <w:t xml:space="preserve">: </w:t>
      </w:r>
      <w:r>
        <w:rPr>
          <w:rFonts w:hint="eastAsia"/>
          <w:b/>
          <w:bCs/>
          <w:i/>
          <w:lang w:eastAsia="zh-CN"/>
        </w:rPr>
        <w:t>Add the followings which relate simultaneous transmission and reception on multiple serving cells in</w:t>
      </w:r>
      <w:r>
        <w:rPr>
          <w:rFonts w:hint="eastAsia"/>
          <w:b/>
          <w:bCs/>
          <w:i/>
          <w:lang w:eastAsia="zh-CN"/>
        </w:rPr>
        <w:t xml:space="preserve"> a frequency band to IAB MT features table.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828"/>
        <w:gridCol w:w="1721"/>
        <w:gridCol w:w="236"/>
        <w:gridCol w:w="460"/>
        <w:gridCol w:w="452"/>
        <w:gridCol w:w="1808"/>
        <w:gridCol w:w="468"/>
        <w:gridCol w:w="397"/>
        <w:gridCol w:w="397"/>
        <w:gridCol w:w="1189"/>
        <w:gridCol w:w="633"/>
        <w:gridCol w:w="845"/>
      </w:tblGrid>
      <w:tr w:rsidR="00870053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</w:tr>
      <w:tr w:rsidR="00870053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>31</w:t>
            </w:r>
            <w:r>
              <w:rPr>
                <w:rStyle w:val="fontstyle01"/>
                <w:sz w:val="16"/>
                <w:szCs w:val="16"/>
                <w:lang w:eastAsia="ja-JP"/>
              </w:rPr>
              <w:t>-</w:t>
            </w: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Simultaneous Rx Tx Intra-Band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Support</w:t>
            </w: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 xml:space="preserve"> [</w:t>
            </w:r>
            <w:r>
              <w:rPr>
                <w:rStyle w:val="fontstyle01"/>
                <w:sz w:val="16"/>
                <w:szCs w:val="16"/>
                <w:lang w:eastAsia="zh-CN"/>
              </w:rPr>
              <w:t>Simultaneous Rx Tx Intra-Band</w:t>
            </w: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>]</w:t>
            </w:r>
            <w:r>
              <w:rPr>
                <w:rStyle w:val="fontstyle01"/>
                <w:sz w:val="16"/>
                <w:szCs w:val="16"/>
                <w:lang w:eastAsia="zh-CN"/>
              </w:rPr>
              <w:t xml:space="preserve"> re</w:t>
            </w: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>porting</w:t>
            </w:r>
            <w:r>
              <w:rPr>
                <w:rStyle w:val="fontstyle01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>Reporting o</w:t>
            </w:r>
            <w:r>
              <w:rPr>
                <w:rStyle w:val="fontstyle01"/>
                <w:sz w:val="16"/>
                <w:szCs w:val="16"/>
                <w:lang w:eastAsia="zh-CN"/>
              </w:rPr>
              <w:t xml:space="preserve">f </w:t>
            </w: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>the IAB-MT</w:t>
            </w:r>
            <w:r>
              <w:rPr>
                <w:rStyle w:val="fontstyle01"/>
                <w:sz w:val="16"/>
                <w:szCs w:val="16"/>
                <w:lang w:eastAsia="zh-CN"/>
              </w:rPr>
              <w:t>’</w:t>
            </w: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 xml:space="preserve">s capability regarding simultaneous transmission and reception on </w:t>
            </w: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>multiple serving cells in a frequency band</w:t>
            </w: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Style w:val="fontstyle01"/>
                <w:sz w:val="16"/>
                <w:szCs w:val="16"/>
                <w:lang w:eastAsia="zh-CN"/>
              </w:rPr>
              <w:t>is not supported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per IAB node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support mixture of FDD/TDD and/or FR1/FR2 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IAB-MT impact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 xml:space="preserve">Optional with capability signalling. </w:t>
            </w:r>
          </w:p>
        </w:tc>
      </w:tr>
    </w:tbl>
    <w:p w:rsidR="00870053" w:rsidRDefault="00870053">
      <w:pPr>
        <w:snapToGrid w:val="0"/>
        <w:spacing w:afterLines="50" w:after="120"/>
        <w:rPr>
          <w:i/>
        </w:rPr>
      </w:pPr>
    </w:p>
    <w:p w:rsidR="00870053" w:rsidRDefault="00870053">
      <w:pPr>
        <w:rPr>
          <w:lang w:eastAsia="zh-CN"/>
        </w:rPr>
      </w:pPr>
    </w:p>
    <w:p w:rsidR="00870053" w:rsidRDefault="00193BC8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870053" w:rsidRDefault="00193BC8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>
        <w:rPr>
          <w:rFonts w:hint="eastAsia"/>
          <w:lang w:eastAsia="zh-CN"/>
        </w:rPr>
        <w:t xml:space="preserve">observation and </w:t>
      </w:r>
      <w:r>
        <w:rPr>
          <w:lang w:val="en-GB" w:eastAsia="zh-CN"/>
        </w:rPr>
        <w:t>proposal on NR Rel-1</w:t>
      </w:r>
      <w:r>
        <w:rPr>
          <w:rFonts w:hint="eastAsia"/>
          <w:lang w:eastAsia="zh-CN"/>
        </w:rPr>
        <w:t>7</w:t>
      </w:r>
      <w:r>
        <w:rPr>
          <w:lang w:val="en-GB" w:eastAsia="zh-CN"/>
        </w:rPr>
        <w:t xml:space="preserve"> </w:t>
      </w:r>
      <w:r>
        <w:rPr>
          <w:rFonts w:hint="eastAsia"/>
          <w:lang w:eastAsia="zh-CN"/>
        </w:rPr>
        <w:t>IAB</w:t>
      </w:r>
      <w:r>
        <w:rPr>
          <w:lang w:val="en-GB" w:eastAsia="zh-CN"/>
        </w:rPr>
        <w:t xml:space="preserve"> features </w:t>
      </w:r>
      <w:r>
        <w:rPr>
          <w:rFonts w:hint="eastAsia"/>
          <w:lang w:eastAsia="zh-CN"/>
        </w:rPr>
        <w:t>are</w:t>
      </w:r>
      <w:r>
        <w:rPr>
          <w:lang w:val="en-GB" w:eastAsia="zh-CN"/>
        </w:rPr>
        <w:t xml:space="preserve"> introduced.</w:t>
      </w:r>
    </w:p>
    <w:p w:rsidR="00870053" w:rsidRDefault="00193BC8">
      <w:pPr>
        <w:rPr>
          <w:lang w:val="en-GB" w:eastAsia="zh-CN"/>
        </w:rPr>
      </w:pPr>
      <w:r>
        <w:rPr>
          <w:rFonts w:hint="eastAsia"/>
          <w:b/>
          <w:i/>
          <w:lang w:eastAsia="zh-CN"/>
        </w:rPr>
        <w:lastRenderedPageBreak/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1</w:t>
      </w:r>
      <w:r>
        <w:rPr>
          <w:b/>
          <w:i/>
        </w:rPr>
        <w:t xml:space="preserve">: </w:t>
      </w:r>
      <w:r>
        <w:rPr>
          <w:rFonts w:hint="eastAsia"/>
          <w:b/>
          <w:i/>
          <w:lang w:eastAsia="zh-CN"/>
        </w:rPr>
        <w:t>A</w:t>
      </w:r>
      <w:r>
        <w:rPr>
          <w:rFonts w:hint="eastAsia"/>
          <w:b/>
          <w:i/>
        </w:rPr>
        <w:t>ll the listed Rel-17 IAB-MT FGs are some enhancements of Rel-16 IAB MT, and are</w:t>
      </w:r>
      <w:r>
        <w:rPr>
          <w:rFonts w:hint="eastAsia"/>
          <w:b/>
          <w:i/>
          <w:lang w:eastAsia="zh-CN"/>
        </w:rPr>
        <w:t xml:space="preserve"> optionally supported with capability signalling</w:t>
      </w:r>
      <w:r>
        <w:rPr>
          <w:rFonts w:hint="eastAsia"/>
          <w:b/>
          <w:bCs/>
          <w:i/>
          <w:lang w:eastAsia="zh-CN"/>
        </w:rPr>
        <w:t>.</w:t>
      </w:r>
    </w:p>
    <w:p w:rsidR="00870053" w:rsidRDefault="00193BC8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>
        <w:rPr>
          <w:b/>
          <w:i/>
        </w:rPr>
        <w:t xml:space="preserve">: </w:t>
      </w:r>
      <w:r>
        <w:rPr>
          <w:rFonts w:hint="eastAsia"/>
          <w:b/>
          <w:bCs/>
          <w:i/>
          <w:lang w:eastAsia="zh-CN"/>
        </w:rPr>
        <w:t>Add the followings which relate simultaneous transmission and reception o</w:t>
      </w:r>
      <w:r>
        <w:rPr>
          <w:rFonts w:hint="eastAsia"/>
          <w:b/>
          <w:bCs/>
          <w:i/>
          <w:lang w:eastAsia="zh-CN"/>
        </w:rPr>
        <w:t>n multiple serving cells in a frequency band to IAB MT features table.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828"/>
        <w:gridCol w:w="1721"/>
        <w:gridCol w:w="236"/>
        <w:gridCol w:w="460"/>
        <w:gridCol w:w="452"/>
        <w:gridCol w:w="1808"/>
        <w:gridCol w:w="468"/>
        <w:gridCol w:w="397"/>
        <w:gridCol w:w="397"/>
        <w:gridCol w:w="1189"/>
        <w:gridCol w:w="633"/>
        <w:gridCol w:w="845"/>
      </w:tblGrid>
      <w:tr w:rsidR="00870053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lang w:eastAsia="zh-CN"/>
              </w:rPr>
            </w:pPr>
          </w:p>
        </w:tc>
      </w:tr>
      <w:tr w:rsidR="00870053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>31</w:t>
            </w:r>
            <w:r>
              <w:rPr>
                <w:rStyle w:val="fontstyle01"/>
                <w:sz w:val="16"/>
                <w:szCs w:val="16"/>
                <w:lang w:eastAsia="ja-JP"/>
              </w:rPr>
              <w:t>-</w:t>
            </w: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Simultaneous Rx Tx Intra-Band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Support</w:t>
            </w: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 xml:space="preserve"> [</w:t>
            </w:r>
            <w:r>
              <w:rPr>
                <w:rStyle w:val="fontstyle01"/>
                <w:sz w:val="16"/>
                <w:szCs w:val="16"/>
                <w:lang w:eastAsia="zh-CN"/>
              </w:rPr>
              <w:t>Simultaneous Rx Tx Intra-Band</w:t>
            </w: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>]</w:t>
            </w:r>
            <w:r>
              <w:rPr>
                <w:rStyle w:val="fontstyle01"/>
                <w:sz w:val="16"/>
                <w:szCs w:val="16"/>
                <w:lang w:eastAsia="zh-CN"/>
              </w:rPr>
              <w:t xml:space="preserve"> re</w:t>
            </w: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>porting</w:t>
            </w:r>
            <w:r>
              <w:rPr>
                <w:rStyle w:val="fontstyle01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870053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>Reporting o</w:t>
            </w:r>
            <w:r>
              <w:rPr>
                <w:rStyle w:val="fontstyle01"/>
                <w:sz w:val="16"/>
                <w:szCs w:val="16"/>
                <w:lang w:eastAsia="zh-CN"/>
              </w:rPr>
              <w:t xml:space="preserve">f </w:t>
            </w: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>the IAB-MT</w:t>
            </w:r>
            <w:r>
              <w:rPr>
                <w:rStyle w:val="fontstyle01"/>
                <w:sz w:val="16"/>
                <w:szCs w:val="16"/>
                <w:lang w:eastAsia="zh-CN"/>
              </w:rPr>
              <w:t>’</w:t>
            </w: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 xml:space="preserve">s capability regarding simultaneous </w:t>
            </w: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>transmission and reception on multiple serving cells in a frequency band</w:t>
            </w:r>
            <w:r>
              <w:rPr>
                <w:rStyle w:val="fontstyle01"/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Style w:val="fontstyle01"/>
                <w:sz w:val="16"/>
                <w:szCs w:val="16"/>
                <w:lang w:eastAsia="zh-CN"/>
              </w:rPr>
              <w:t>is not supported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per IAB node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support mixture of FDD/TDD and/or FR1/FR2 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>IAB-MT impact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53" w:rsidRDefault="00193BC8">
            <w:pPr>
              <w:pStyle w:val="TAL"/>
              <w:rPr>
                <w:rStyle w:val="fontstyle01"/>
                <w:sz w:val="16"/>
                <w:szCs w:val="16"/>
                <w:lang w:eastAsia="zh-CN"/>
              </w:rPr>
            </w:pPr>
            <w:r>
              <w:rPr>
                <w:rStyle w:val="fontstyle01"/>
                <w:sz w:val="16"/>
                <w:szCs w:val="16"/>
                <w:lang w:eastAsia="zh-CN"/>
              </w:rPr>
              <w:t xml:space="preserve">Optional with capability signalling. </w:t>
            </w:r>
          </w:p>
        </w:tc>
      </w:tr>
    </w:tbl>
    <w:p w:rsidR="00870053" w:rsidRDefault="00193BC8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870053" w:rsidRDefault="00193BC8">
      <w:pPr>
        <w:pStyle w:val="References"/>
        <w:rPr>
          <w:lang w:eastAsia="zh-CN"/>
        </w:rPr>
      </w:pPr>
      <w:bookmarkStart w:id="4" w:name="_Ref19801165"/>
      <w:bookmarkStart w:id="5" w:name="_Ref23862154"/>
      <w:bookmarkStart w:id="6" w:name="_Ref19798002"/>
      <w:bookmarkStart w:id="7" w:name="_Ref7029524"/>
      <w:r>
        <w:rPr>
          <w:rFonts w:hint="eastAsia"/>
          <w:lang w:eastAsia="zh-CN"/>
        </w:rPr>
        <w:t>R1-2108679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Preliminary RAN1 UE features </w:t>
      </w:r>
      <w:r>
        <w:rPr>
          <w:rFonts w:hint="eastAsia"/>
          <w:lang w:eastAsia="zh-CN"/>
        </w:rPr>
        <w:t>list for Rel-17 NR</w:t>
      </w:r>
      <w:r>
        <w:rPr>
          <w:rFonts w:hint="eastAsia"/>
          <w:lang w:eastAsia="zh-CN"/>
        </w:rPr>
        <w:t>, Moderators (AT&amp;T, NTT DOCOMO, INC.).</w:t>
      </w:r>
    </w:p>
    <w:p w:rsidR="00870053" w:rsidRDefault="00193BC8">
      <w:pPr>
        <w:pStyle w:val="References"/>
        <w:rPr>
          <w:lang w:eastAsia="zh-CN"/>
        </w:rPr>
      </w:pPr>
      <w:r>
        <w:rPr>
          <w:lang w:eastAsia="zh-CN"/>
        </w:rPr>
        <w:t>Chair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note RAN1#</w:t>
      </w:r>
      <w:bookmarkEnd w:id="4"/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-e</w:t>
      </w:r>
      <w:r>
        <w:rPr>
          <w:lang w:eastAsia="zh-CN"/>
        </w:rPr>
        <w:t>.</w:t>
      </w:r>
      <w:bookmarkEnd w:id="5"/>
      <w:bookmarkEnd w:id="6"/>
      <w:bookmarkEnd w:id="7"/>
    </w:p>
    <w:p w:rsidR="00870053" w:rsidRDefault="00870053">
      <w:pPr>
        <w:pStyle w:val="References"/>
        <w:numPr>
          <w:ilvl w:val="0"/>
          <w:numId w:val="0"/>
        </w:numPr>
        <w:rPr>
          <w:lang w:eastAsia="zh-CN"/>
        </w:rPr>
      </w:pPr>
    </w:p>
    <w:sectPr w:rsidR="00870053">
      <w:footerReference w:type="default" r:id="rId13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93BC8">
      <w:pPr>
        <w:spacing w:after="0" w:line="240" w:lineRule="auto"/>
      </w:pPr>
      <w:r>
        <w:separator/>
      </w:r>
    </w:p>
  </w:endnote>
  <w:endnote w:type="continuationSeparator" w:id="0">
    <w:p w:rsidR="00000000" w:rsidRDefault="00193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38216"/>
    </w:sdtPr>
    <w:sdtEndPr/>
    <w:sdtContent>
      <w:p w:rsidR="00870053" w:rsidRDefault="00193BC8">
        <w:pPr>
          <w:pStyle w:val="ad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70053" w:rsidRDefault="0087005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93BC8">
      <w:pPr>
        <w:spacing w:after="0" w:line="240" w:lineRule="auto"/>
      </w:pPr>
      <w:r>
        <w:separator/>
      </w:r>
    </w:p>
  </w:footnote>
  <w:footnote w:type="continuationSeparator" w:id="0">
    <w:p w:rsidR="00000000" w:rsidRDefault="00193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0ED0061A"/>
    <w:multiLevelType w:val="multilevel"/>
    <w:tmpl w:val="0ED006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attachedTemplate r:id="rId1"/>
  <w:linkStyles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2D8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81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203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4CF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4F3F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BC8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4F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6FB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5ADF"/>
    <w:rsid w:val="002367E8"/>
    <w:rsid w:val="00236850"/>
    <w:rsid w:val="00236F71"/>
    <w:rsid w:val="0023716F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2CF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1C1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3F46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3D7D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DC2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79A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3D9D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25B9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45AD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A76A9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254D"/>
    <w:rsid w:val="006B2DF5"/>
    <w:rsid w:val="006B34DD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45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DDA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8D5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38A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053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5D6C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6EF0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7B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6E6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8CF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697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65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B90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7CB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AE6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2D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5D4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15C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4F10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21F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923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DFC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21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1C7C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C1"/>
    <w:rsid w:val="00E15ED2"/>
    <w:rsid w:val="00E164E8"/>
    <w:rsid w:val="00E1654E"/>
    <w:rsid w:val="00E167D4"/>
    <w:rsid w:val="00E172D5"/>
    <w:rsid w:val="00E17493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15C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2CE6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266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192259"/>
    <w:rsid w:val="0284643E"/>
    <w:rsid w:val="03532C3F"/>
    <w:rsid w:val="03B25C4C"/>
    <w:rsid w:val="03F94E83"/>
    <w:rsid w:val="03FC4856"/>
    <w:rsid w:val="04E45DC8"/>
    <w:rsid w:val="067D4C1C"/>
    <w:rsid w:val="06B127E5"/>
    <w:rsid w:val="072F2729"/>
    <w:rsid w:val="07C21FA9"/>
    <w:rsid w:val="08164156"/>
    <w:rsid w:val="08630F95"/>
    <w:rsid w:val="089403C8"/>
    <w:rsid w:val="08EF507B"/>
    <w:rsid w:val="0957797D"/>
    <w:rsid w:val="0972706B"/>
    <w:rsid w:val="09C21BB6"/>
    <w:rsid w:val="09C34080"/>
    <w:rsid w:val="0AFC60B7"/>
    <w:rsid w:val="0B9E7E99"/>
    <w:rsid w:val="0BAD7041"/>
    <w:rsid w:val="0BCF78CD"/>
    <w:rsid w:val="0BD44C3F"/>
    <w:rsid w:val="0C321D1B"/>
    <w:rsid w:val="0C6F5654"/>
    <w:rsid w:val="0D132BA9"/>
    <w:rsid w:val="0D660AC2"/>
    <w:rsid w:val="0D672BF6"/>
    <w:rsid w:val="0E120AD5"/>
    <w:rsid w:val="0E276594"/>
    <w:rsid w:val="0E985BEE"/>
    <w:rsid w:val="0EB06FFE"/>
    <w:rsid w:val="0F495685"/>
    <w:rsid w:val="0FDD14B9"/>
    <w:rsid w:val="0FEB379A"/>
    <w:rsid w:val="1009478C"/>
    <w:rsid w:val="10150A41"/>
    <w:rsid w:val="1257267A"/>
    <w:rsid w:val="12A472D8"/>
    <w:rsid w:val="12FE321B"/>
    <w:rsid w:val="130859B8"/>
    <w:rsid w:val="141F2191"/>
    <w:rsid w:val="1575AEB2"/>
    <w:rsid w:val="158A3C94"/>
    <w:rsid w:val="164F7F6D"/>
    <w:rsid w:val="165E068A"/>
    <w:rsid w:val="16D1210F"/>
    <w:rsid w:val="1702D3F2"/>
    <w:rsid w:val="17BD510C"/>
    <w:rsid w:val="17DB6A52"/>
    <w:rsid w:val="188D2058"/>
    <w:rsid w:val="18BA7603"/>
    <w:rsid w:val="18FD3F86"/>
    <w:rsid w:val="192B740B"/>
    <w:rsid w:val="1946080B"/>
    <w:rsid w:val="1A514204"/>
    <w:rsid w:val="1B2E6DC7"/>
    <w:rsid w:val="1B5316CE"/>
    <w:rsid w:val="1B5E59D2"/>
    <w:rsid w:val="1C486A69"/>
    <w:rsid w:val="1C766428"/>
    <w:rsid w:val="1DD50930"/>
    <w:rsid w:val="1DF407BB"/>
    <w:rsid w:val="1E38003B"/>
    <w:rsid w:val="1E9F3495"/>
    <w:rsid w:val="1F850095"/>
    <w:rsid w:val="1FB91CD0"/>
    <w:rsid w:val="20910CB1"/>
    <w:rsid w:val="20CD42FE"/>
    <w:rsid w:val="21035A99"/>
    <w:rsid w:val="21282288"/>
    <w:rsid w:val="216D7117"/>
    <w:rsid w:val="23680C07"/>
    <w:rsid w:val="239E142D"/>
    <w:rsid w:val="245870DE"/>
    <w:rsid w:val="247247A7"/>
    <w:rsid w:val="2473146A"/>
    <w:rsid w:val="26451D68"/>
    <w:rsid w:val="277E6C22"/>
    <w:rsid w:val="27C5366D"/>
    <w:rsid w:val="27DD67CA"/>
    <w:rsid w:val="28690808"/>
    <w:rsid w:val="28B07E55"/>
    <w:rsid w:val="28B54AA2"/>
    <w:rsid w:val="291C08F9"/>
    <w:rsid w:val="2A0F0B23"/>
    <w:rsid w:val="2AFE2B7E"/>
    <w:rsid w:val="2B142A01"/>
    <w:rsid w:val="2B3416CC"/>
    <w:rsid w:val="2D376513"/>
    <w:rsid w:val="2DC863F1"/>
    <w:rsid w:val="2EAF5B6B"/>
    <w:rsid w:val="2EB72406"/>
    <w:rsid w:val="2F2367DE"/>
    <w:rsid w:val="310D13D4"/>
    <w:rsid w:val="31542D3B"/>
    <w:rsid w:val="31A650D5"/>
    <w:rsid w:val="32832752"/>
    <w:rsid w:val="32FE23BF"/>
    <w:rsid w:val="330E6893"/>
    <w:rsid w:val="33DE0CB9"/>
    <w:rsid w:val="34760742"/>
    <w:rsid w:val="3490436D"/>
    <w:rsid w:val="3511129D"/>
    <w:rsid w:val="359455FE"/>
    <w:rsid w:val="35C34E80"/>
    <w:rsid w:val="36CD07B0"/>
    <w:rsid w:val="375C57D7"/>
    <w:rsid w:val="37DD651E"/>
    <w:rsid w:val="38BA113F"/>
    <w:rsid w:val="3A135075"/>
    <w:rsid w:val="3A8424B5"/>
    <w:rsid w:val="3AB31D0C"/>
    <w:rsid w:val="3B4679D3"/>
    <w:rsid w:val="3B4A3B53"/>
    <w:rsid w:val="3BD84454"/>
    <w:rsid w:val="3C106BB0"/>
    <w:rsid w:val="3C283C09"/>
    <w:rsid w:val="3C426C4A"/>
    <w:rsid w:val="3C6B6896"/>
    <w:rsid w:val="3C9016C6"/>
    <w:rsid w:val="3C923082"/>
    <w:rsid w:val="3CBF1F7A"/>
    <w:rsid w:val="3CD05485"/>
    <w:rsid w:val="3D0354C7"/>
    <w:rsid w:val="3D7642C9"/>
    <w:rsid w:val="3D886672"/>
    <w:rsid w:val="3DDA6D42"/>
    <w:rsid w:val="3E7347F4"/>
    <w:rsid w:val="3E861E19"/>
    <w:rsid w:val="3E917DC5"/>
    <w:rsid w:val="3EC51A2A"/>
    <w:rsid w:val="3EF83C43"/>
    <w:rsid w:val="3F01664D"/>
    <w:rsid w:val="3F175FC8"/>
    <w:rsid w:val="3FD010A5"/>
    <w:rsid w:val="402E535B"/>
    <w:rsid w:val="40850DCD"/>
    <w:rsid w:val="41AC1D9C"/>
    <w:rsid w:val="4242619A"/>
    <w:rsid w:val="42B20782"/>
    <w:rsid w:val="42D21BC4"/>
    <w:rsid w:val="433F5E95"/>
    <w:rsid w:val="44917C93"/>
    <w:rsid w:val="4550219F"/>
    <w:rsid w:val="45E75928"/>
    <w:rsid w:val="46A60951"/>
    <w:rsid w:val="46D41E44"/>
    <w:rsid w:val="47AE2F53"/>
    <w:rsid w:val="480D2959"/>
    <w:rsid w:val="496938E0"/>
    <w:rsid w:val="49882B35"/>
    <w:rsid w:val="4B3872E6"/>
    <w:rsid w:val="4CA149AE"/>
    <w:rsid w:val="4DF51404"/>
    <w:rsid w:val="4E285B47"/>
    <w:rsid w:val="4E5633F4"/>
    <w:rsid w:val="4E7740D9"/>
    <w:rsid w:val="4EAC0AFF"/>
    <w:rsid w:val="4EC2021D"/>
    <w:rsid w:val="50FD13B2"/>
    <w:rsid w:val="529522BD"/>
    <w:rsid w:val="52FE30BB"/>
    <w:rsid w:val="53427DBB"/>
    <w:rsid w:val="536E79E7"/>
    <w:rsid w:val="54AE272E"/>
    <w:rsid w:val="54CE2507"/>
    <w:rsid w:val="55181CD2"/>
    <w:rsid w:val="55976889"/>
    <w:rsid w:val="55B522D5"/>
    <w:rsid w:val="55D01D97"/>
    <w:rsid w:val="56D72B7A"/>
    <w:rsid w:val="57244B18"/>
    <w:rsid w:val="57EF6871"/>
    <w:rsid w:val="58240039"/>
    <w:rsid w:val="595A121E"/>
    <w:rsid w:val="59C75644"/>
    <w:rsid w:val="5AF07FF7"/>
    <w:rsid w:val="5AF422E5"/>
    <w:rsid w:val="5B440B3D"/>
    <w:rsid w:val="5BF26431"/>
    <w:rsid w:val="5D4614DF"/>
    <w:rsid w:val="5DD760E8"/>
    <w:rsid w:val="5E780DEA"/>
    <w:rsid w:val="5F631FA8"/>
    <w:rsid w:val="5FAC79CE"/>
    <w:rsid w:val="61A7154E"/>
    <w:rsid w:val="644E7768"/>
    <w:rsid w:val="64FE0409"/>
    <w:rsid w:val="65507243"/>
    <w:rsid w:val="656027FF"/>
    <w:rsid w:val="66457E51"/>
    <w:rsid w:val="6680376E"/>
    <w:rsid w:val="66ED31EA"/>
    <w:rsid w:val="691A3243"/>
    <w:rsid w:val="692D6625"/>
    <w:rsid w:val="696C42BB"/>
    <w:rsid w:val="698A6B0F"/>
    <w:rsid w:val="6A23374E"/>
    <w:rsid w:val="6A782EAA"/>
    <w:rsid w:val="6A9133B1"/>
    <w:rsid w:val="6B704279"/>
    <w:rsid w:val="6D020EA1"/>
    <w:rsid w:val="6E0F1211"/>
    <w:rsid w:val="6F655CBB"/>
    <w:rsid w:val="6FBD0858"/>
    <w:rsid w:val="70245BA5"/>
    <w:rsid w:val="704F0E0E"/>
    <w:rsid w:val="72E1752D"/>
    <w:rsid w:val="73A015C2"/>
    <w:rsid w:val="73A913CF"/>
    <w:rsid w:val="73EB1497"/>
    <w:rsid w:val="74000A47"/>
    <w:rsid w:val="744A0C15"/>
    <w:rsid w:val="74885606"/>
    <w:rsid w:val="751115BE"/>
    <w:rsid w:val="75740E00"/>
    <w:rsid w:val="763A080C"/>
    <w:rsid w:val="76430B33"/>
    <w:rsid w:val="7668500D"/>
    <w:rsid w:val="76EB5B39"/>
    <w:rsid w:val="776F4F23"/>
    <w:rsid w:val="78156E78"/>
    <w:rsid w:val="782D5EAF"/>
    <w:rsid w:val="789F1175"/>
    <w:rsid w:val="791827BA"/>
    <w:rsid w:val="7931734A"/>
    <w:rsid w:val="7ADB38D4"/>
    <w:rsid w:val="7AFC2BAE"/>
    <w:rsid w:val="7DD2691C"/>
    <w:rsid w:val="7E3563A1"/>
    <w:rsid w:val="7E6A6E2E"/>
    <w:rsid w:val="7E9326F9"/>
    <w:rsid w:val="7E9C1116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4496DE7-592B-4DFC-8B3A-E64EB4530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200" w:line="276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uiPriority w:val="99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1"/>
    <w:uiPriority w:val="22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uiPriority w:val="99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20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200" w:line="276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pPr>
      <w:spacing w:after="200" w:line="276" w:lineRule="auto"/>
    </w:pPr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 w:line="276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 w:line="276" w:lineRule="auto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paragraph" w:customStyle="1" w:styleId="maintext">
    <w:name w:val="main text"/>
    <w:basedOn w:val="a0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fontstyle01">
    <w:name w:val="fontstyle01"/>
    <w:basedOn w:val="a1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/>
</ds:datastoreItem>
</file>

<file path=customXml/itemProps4.xml><?xml version="1.0" encoding="utf-8"?>
<ds:datastoreItem xmlns:ds="http://schemas.openxmlformats.org/officeDocument/2006/customXml" ds:itemID="{4F156B33-FE54-4BF7-8206-606715473FFD}">
  <ds:schemaRefs/>
</ds:datastoreItem>
</file>

<file path=customXml/itemProps5.xml><?xml version="1.0" encoding="utf-8"?>
<ds:datastoreItem xmlns:ds="http://schemas.openxmlformats.org/officeDocument/2006/customXml" ds:itemID="{9C2FF60E-EDDE-47F2-966E-A40547D413B7}">
  <ds:schemaRefs/>
</ds:datastoreItem>
</file>

<file path=customXml/itemProps6.xml><?xml version="1.0" encoding="utf-8"?>
<ds:datastoreItem xmlns:ds="http://schemas.openxmlformats.org/officeDocument/2006/customXml" ds:itemID="{AB1732D1-D3AF-4CFC-921B-2C4A21FF2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425</Words>
  <Characters>2425</Characters>
  <Application>Microsoft Office Word</Application>
  <DocSecurity>0</DocSecurity>
  <Lines>20</Lines>
  <Paragraphs>5</Paragraphs>
  <ScaleCrop>false</ScaleCrop>
  <Company>ZTE Corporation</Company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xingweimin</cp:lastModifiedBy>
  <cp:revision>20</cp:revision>
  <cp:lastPrinted>2018-04-07T03:05:00Z</cp:lastPrinted>
  <dcterms:created xsi:type="dcterms:W3CDTF">2020-02-12T09:27:00Z</dcterms:created>
  <dcterms:modified xsi:type="dcterms:W3CDTF">2021-09-30T11:41:00Z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